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A9E1" w14:textId="77777777" w:rsidR="00B25C30" w:rsidRDefault="00B25C30" w:rsidP="00B25C30">
      <w:pPr>
        <w:pStyle w:val="muitypography-root"/>
        <w:shd w:val="clear" w:color="auto" w:fill="FFFFFF"/>
        <w:spacing w:line="540" w:lineRule="atLeast"/>
        <w:rPr>
          <w:rFonts w:ascii="__poppins_Fallback_9823b9" w:hAnsi="__poppins_Fallback_9823b9"/>
          <w:b/>
          <w:bCs/>
          <w:color w:val="000000"/>
          <w:spacing w:val="2"/>
          <w:sz w:val="36"/>
          <w:szCs w:val="36"/>
        </w:rPr>
      </w:pPr>
      <w:r>
        <w:rPr>
          <w:rFonts w:ascii="__poppins_Fallback_9823b9" w:hAnsi="__poppins_Fallback_9823b9"/>
          <w:b/>
          <w:bCs/>
          <w:color w:val="000000"/>
          <w:spacing w:val="2"/>
          <w:sz w:val="36"/>
          <w:szCs w:val="36"/>
        </w:rPr>
        <w:t>ÖZEL TÜKETİM VERGİSİ (II) SAYILI LİSTE UYGULAMA GENEL TEBLİĞİNDE DEĞİŞİKLİK YAPILMASINA DAİR TEBLİĞ (SERİ NO: 15)</w:t>
      </w:r>
    </w:p>
    <w:p w14:paraId="37F3F9BA" w14:textId="77777777" w:rsidR="00B25C30" w:rsidRPr="00B25C30" w:rsidRDefault="00B25C30" w:rsidP="00B25C30">
      <w:pPr>
        <w:pStyle w:val="muitypography-root"/>
        <w:shd w:val="clear" w:color="auto" w:fill="FFFFFF"/>
        <w:spacing w:before="0" w:beforeAutospacing="0" w:after="0" w:afterAutospacing="0"/>
        <w:rPr>
          <w:rFonts w:ascii="Helvetica" w:hAnsi="Helvetica"/>
          <w:b/>
          <w:bCs/>
          <w:spacing w:val="2"/>
          <w:sz w:val="18"/>
          <w:szCs w:val="18"/>
        </w:rPr>
      </w:pPr>
      <w:proofErr w:type="gramStart"/>
      <w:r w:rsidRPr="00B25C30">
        <w:rPr>
          <w:rFonts w:ascii="Helvetica" w:hAnsi="Helvetica"/>
          <w:b/>
          <w:bCs/>
          <w:spacing w:val="2"/>
          <w:sz w:val="18"/>
          <w:szCs w:val="18"/>
        </w:rPr>
        <w:t>Resmi</w:t>
      </w:r>
      <w:proofErr w:type="gramEnd"/>
      <w:r w:rsidRPr="00B25C30">
        <w:rPr>
          <w:rFonts w:ascii="Helvetica" w:hAnsi="Helvetica"/>
          <w:b/>
          <w:bCs/>
          <w:spacing w:val="2"/>
          <w:sz w:val="18"/>
          <w:szCs w:val="18"/>
        </w:rPr>
        <w:t xml:space="preserve"> Gazete Sayısı</w:t>
      </w:r>
    </w:p>
    <w:p w14:paraId="25C01802" w14:textId="77777777" w:rsidR="00B25C30" w:rsidRPr="00B25C30" w:rsidRDefault="00B25C30" w:rsidP="00B25C30">
      <w:pPr>
        <w:pStyle w:val="muitypography-root"/>
        <w:shd w:val="clear" w:color="auto" w:fill="FFFFFF"/>
        <w:spacing w:before="0" w:beforeAutospacing="0" w:after="0" w:afterAutospacing="0"/>
        <w:rPr>
          <w:rFonts w:ascii="Helvetica" w:hAnsi="Helvetica"/>
          <w:b/>
          <w:bCs/>
          <w:spacing w:val="2"/>
          <w:sz w:val="21"/>
          <w:szCs w:val="21"/>
        </w:rPr>
      </w:pPr>
      <w:r w:rsidRPr="00B25C30">
        <w:rPr>
          <w:rFonts w:ascii="Helvetica" w:hAnsi="Helvetica"/>
          <w:b/>
          <w:bCs/>
          <w:spacing w:val="2"/>
          <w:sz w:val="21"/>
          <w:szCs w:val="21"/>
        </w:rPr>
        <w:t>33007</w:t>
      </w:r>
    </w:p>
    <w:p w14:paraId="5565CA7C" w14:textId="77777777" w:rsidR="00B25C30" w:rsidRPr="00B25C30" w:rsidRDefault="00B25C30" w:rsidP="00B25C30">
      <w:pPr>
        <w:pStyle w:val="muitypography-root"/>
        <w:shd w:val="clear" w:color="auto" w:fill="FFFFFF"/>
        <w:spacing w:before="0" w:beforeAutospacing="0" w:after="0" w:afterAutospacing="0"/>
        <w:rPr>
          <w:rFonts w:ascii="Helvetica" w:hAnsi="Helvetica"/>
          <w:b/>
          <w:bCs/>
          <w:spacing w:val="2"/>
          <w:sz w:val="18"/>
          <w:szCs w:val="18"/>
        </w:rPr>
      </w:pPr>
      <w:proofErr w:type="gramStart"/>
      <w:r w:rsidRPr="00B25C30">
        <w:rPr>
          <w:rFonts w:ascii="Helvetica" w:hAnsi="Helvetica"/>
          <w:b/>
          <w:bCs/>
          <w:spacing w:val="2"/>
          <w:sz w:val="18"/>
          <w:szCs w:val="18"/>
        </w:rPr>
        <w:t>Resmi</w:t>
      </w:r>
      <w:proofErr w:type="gramEnd"/>
      <w:r w:rsidRPr="00B25C30">
        <w:rPr>
          <w:rFonts w:ascii="Helvetica" w:hAnsi="Helvetica"/>
          <w:b/>
          <w:bCs/>
          <w:spacing w:val="2"/>
          <w:sz w:val="18"/>
          <w:szCs w:val="18"/>
        </w:rPr>
        <w:t xml:space="preserve"> Gazete Tarihi</w:t>
      </w:r>
    </w:p>
    <w:p w14:paraId="3D15D502" w14:textId="77777777" w:rsidR="00B25C30" w:rsidRPr="00B25C30" w:rsidRDefault="00B25C30" w:rsidP="00B25C30">
      <w:pPr>
        <w:pStyle w:val="muitypography-root"/>
        <w:shd w:val="clear" w:color="auto" w:fill="FFFFFF"/>
        <w:spacing w:before="0" w:beforeAutospacing="0" w:after="0" w:afterAutospacing="0"/>
        <w:rPr>
          <w:rFonts w:ascii="Helvetica" w:hAnsi="Helvetica"/>
          <w:b/>
          <w:bCs/>
          <w:spacing w:val="2"/>
          <w:sz w:val="21"/>
          <w:szCs w:val="21"/>
        </w:rPr>
      </w:pPr>
      <w:r w:rsidRPr="00B25C30">
        <w:rPr>
          <w:rFonts w:ascii="Helvetica" w:hAnsi="Helvetica"/>
          <w:b/>
          <w:bCs/>
          <w:spacing w:val="2"/>
          <w:sz w:val="21"/>
          <w:szCs w:val="21"/>
        </w:rPr>
        <w:t>04.09.2025</w:t>
      </w:r>
    </w:p>
    <w:p w14:paraId="09997F07"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MADDE 1-</w:t>
      </w:r>
      <w:r>
        <w:rPr>
          <w:rFonts w:ascii="Helvetica" w:hAnsi="Helvetica"/>
          <w:color w:val="000000"/>
          <w:spacing w:val="2"/>
          <w:sz w:val="27"/>
          <w:szCs w:val="27"/>
        </w:rPr>
        <w:t> 18/4/2015 tarihli ve 29330 sayılı Resmî Gazete’de yayımlanan Özel Tüketim Vergisi (II) Sayılı Liste Uygulama Genel Tebliğinin (II/C/4) bölümünden sonra gelmek üzere başlığıyla birlikte aşağıdaki bölüm eklenmiş ve takip eden bölümler buna göre teselsül ettirilmiştir.</w:t>
      </w:r>
    </w:p>
    <w:p w14:paraId="60AAE617"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“5. Ulusal Güvenlik Kuruluşlarının Alımlarında İstisna</w:t>
      </w:r>
    </w:p>
    <w:p w14:paraId="1749E330"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5.1. Kapsam</w:t>
      </w:r>
    </w:p>
    <w:p w14:paraId="089D7252"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xml:space="preserve">Özel Tüketim Vergisi Kanununun </w:t>
      </w:r>
      <w:proofErr w:type="gramStart"/>
      <w:r>
        <w:rPr>
          <w:rFonts w:ascii="Helvetica" w:hAnsi="Helvetica"/>
          <w:color w:val="000000"/>
          <w:spacing w:val="2"/>
          <w:sz w:val="27"/>
          <w:szCs w:val="27"/>
        </w:rPr>
        <w:t xml:space="preserve">7 </w:t>
      </w:r>
      <w:proofErr w:type="spellStart"/>
      <w:r>
        <w:rPr>
          <w:rFonts w:ascii="Helvetica" w:hAnsi="Helvetica"/>
          <w:color w:val="000000"/>
          <w:spacing w:val="2"/>
          <w:sz w:val="27"/>
          <w:szCs w:val="27"/>
        </w:rPr>
        <w:t>nci</w:t>
      </w:r>
      <w:proofErr w:type="spellEnd"/>
      <w:proofErr w:type="gramEnd"/>
      <w:r>
        <w:rPr>
          <w:rFonts w:ascii="Helvetica" w:hAnsi="Helvetica"/>
          <w:color w:val="000000"/>
          <w:spacing w:val="2"/>
          <w:sz w:val="27"/>
          <w:szCs w:val="27"/>
        </w:rPr>
        <w:t xml:space="preserve"> maddesinin birinci fıkrasının (3) numaralı bendinin (ç) alt bendine göre, Kanuna ekli (II) sayılı listede yer alan ve yerli katkı oranı en az %40 olan mallar ile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taşıtların, 87.04 ve 87.11 G.T.İ.P. numaralarında yer alan taşıtların, Millî Savunma Bakanlığı, İçişleri Bakanlığı, Savunma Sanayii Başkanlığı ve Millî İstihbarat Teşkilatı Başkanlığı tarafından münhasıran millî savunma ve iç güvenlik ihtiyaçlarında kullanılmak üzere ilk iktisabı ÖTV’den müstesnadır.</w:t>
      </w:r>
    </w:p>
    <w:p w14:paraId="1B376B04"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5.2. İstisna Uygulaması</w:t>
      </w:r>
    </w:p>
    <w:p w14:paraId="381126E9"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Bu istisna;</w:t>
      </w:r>
    </w:p>
    <w:p w14:paraId="050E83CD"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Millî Savunma Bakanlığı,</w:t>
      </w:r>
    </w:p>
    <w:p w14:paraId="18E30A12"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İçişleri Bakanlığı,</w:t>
      </w:r>
    </w:p>
    <w:p w14:paraId="590609A9"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Savunma Sanayii Başkanlığı,</w:t>
      </w:r>
    </w:p>
    <w:p w14:paraId="57AD9047"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lastRenderedPageBreak/>
        <w:t xml:space="preserve">- </w:t>
      </w:r>
      <w:proofErr w:type="gramStart"/>
      <w:r>
        <w:rPr>
          <w:rFonts w:ascii="Helvetica" w:hAnsi="Helvetica"/>
          <w:color w:val="000000"/>
          <w:spacing w:val="2"/>
          <w:sz w:val="27"/>
          <w:szCs w:val="27"/>
        </w:rPr>
        <w:t>Milli</w:t>
      </w:r>
      <w:proofErr w:type="gramEnd"/>
      <w:r>
        <w:rPr>
          <w:rFonts w:ascii="Helvetica" w:hAnsi="Helvetica"/>
          <w:color w:val="000000"/>
          <w:spacing w:val="2"/>
          <w:sz w:val="27"/>
          <w:szCs w:val="27"/>
        </w:rPr>
        <w:t xml:space="preserve"> İstihbarat Teşkilatı Başkanlığınca,</w:t>
      </w:r>
    </w:p>
    <w:p w14:paraId="3884E59C"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(Bu kurum ve kuruluşlar “ulusal güvenlik kuruluşları” olarak adlandırılacaktır.)  </w:t>
      </w:r>
      <w:proofErr w:type="gramStart"/>
      <w:r>
        <w:rPr>
          <w:rFonts w:ascii="Helvetica" w:hAnsi="Helvetica"/>
          <w:color w:val="000000"/>
          <w:spacing w:val="2"/>
          <w:sz w:val="27"/>
          <w:szCs w:val="27"/>
        </w:rPr>
        <w:t>detayları</w:t>
      </w:r>
      <w:proofErr w:type="gramEnd"/>
      <w:r>
        <w:rPr>
          <w:rFonts w:ascii="Helvetica" w:hAnsi="Helvetica"/>
          <w:color w:val="000000"/>
          <w:spacing w:val="2"/>
          <w:sz w:val="27"/>
          <w:szCs w:val="27"/>
        </w:rPr>
        <w:t xml:space="preserve"> aşağıda belirtilen taşıtların ilk iktisabında uygulanır.</w:t>
      </w:r>
    </w:p>
    <w:p w14:paraId="5D696823"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İstisnanın kapsamına ulusal güvenlik kuruluşlarının Kanuna ekli;</w:t>
      </w:r>
    </w:p>
    <w:p w14:paraId="2FCCF815"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(II) sayılı listede yer alan ve yerli katkı oranı en az %40 olan malları,</w:t>
      </w:r>
    </w:p>
    <w:p w14:paraId="655610A6"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w:t>
      </w:r>
    </w:p>
    <w:p w14:paraId="31C99409"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xml:space="preserve">• 87.04 G.T.İ.P. numarasında yer alan “Eşya taşımaya mahsus motorlu </w:t>
      </w:r>
      <w:proofErr w:type="spellStart"/>
      <w:r>
        <w:rPr>
          <w:rFonts w:ascii="Helvetica" w:hAnsi="Helvetica"/>
          <w:color w:val="000000"/>
          <w:spacing w:val="2"/>
          <w:sz w:val="27"/>
          <w:szCs w:val="27"/>
        </w:rPr>
        <w:t>taşıtlar”ı</w:t>
      </w:r>
      <w:proofErr w:type="spellEnd"/>
      <w:r>
        <w:rPr>
          <w:rFonts w:ascii="Helvetica" w:hAnsi="Helvetica"/>
          <w:color w:val="000000"/>
          <w:spacing w:val="2"/>
          <w:sz w:val="27"/>
          <w:szCs w:val="27"/>
        </w:rPr>
        <w:t>,</w:t>
      </w:r>
    </w:p>
    <w:p w14:paraId="1D40EE0B"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87.11 G.T.İ.P. numarasında yer alan “Motosikletler (</w:t>
      </w:r>
      <w:proofErr w:type="spellStart"/>
      <w:r>
        <w:rPr>
          <w:rFonts w:ascii="Helvetica" w:hAnsi="Helvetica"/>
          <w:color w:val="000000"/>
          <w:spacing w:val="2"/>
          <w:sz w:val="27"/>
          <w:szCs w:val="27"/>
        </w:rPr>
        <w:t>mopedler</w:t>
      </w:r>
      <w:proofErr w:type="spellEnd"/>
      <w:r>
        <w:rPr>
          <w:rFonts w:ascii="Helvetica" w:hAnsi="Helvetica"/>
          <w:color w:val="000000"/>
          <w:spacing w:val="2"/>
          <w:sz w:val="27"/>
          <w:szCs w:val="27"/>
        </w:rPr>
        <w:t xml:space="preserve"> dahil) ve bir yardımcı motoru bulunan tekerlekli taşıtlar (sepetli olsun olmasın); sepetler (sepetler hariç) (Sadece elektrik motorlu olanlar hariç</w:t>
      </w:r>
      <w:proofErr w:type="gramStart"/>
      <w:r>
        <w:rPr>
          <w:rFonts w:ascii="Helvetica" w:hAnsi="Helvetica"/>
          <w:color w:val="000000"/>
          <w:spacing w:val="2"/>
          <w:sz w:val="27"/>
          <w:szCs w:val="27"/>
        </w:rPr>
        <w:t>)”i</w:t>
      </w:r>
      <w:proofErr w:type="gramEnd"/>
      <w:r>
        <w:rPr>
          <w:rFonts w:ascii="Helvetica" w:hAnsi="Helvetica"/>
          <w:color w:val="000000"/>
          <w:spacing w:val="2"/>
          <w:sz w:val="27"/>
          <w:szCs w:val="27"/>
        </w:rPr>
        <w:t>,</w:t>
      </w:r>
    </w:p>
    <w:p w14:paraId="5EF8EE7E" w14:textId="77777777" w:rsidR="00B25C30" w:rsidRDefault="00B25C30" w:rsidP="00B25C30">
      <w:pPr>
        <w:pStyle w:val="NormalWeb"/>
        <w:shd w:val="clear" w:color="auto" w:fill="FFFFFF"/>
        <w:rPr>
          <w:rFonts w:ascii="Helvetica" w:hAnsi="Helvetica"/>
          <w:color w:val="000000"/>
          <w:spacing w:val="2"/>
          <w:sz w:val="27"/>
          <w:szCs w:val="27"/>
        </w:rPr>
      </w:pPr>
      <w:proofErr w:type="gramStart"/>
      <w:r>
        <w:rPr>
          <w:rFonts w:ascii="Helvetica" w:hAnsi="Helvetica"/>
          <w:color w:val="000000"/>
          <w:spacing w:val="2"/>
          <w:sz w:val="27"/>
          <w:szCs w:val="27"/>
        </w:rPr>
        <w:t>münhasıran</w:t>
      </w:r>
      <w:proofErr w:type="gramEnd"/>
      <w:r>
        <w:rPr>
          <w:rFonts w:ascii="Helvetica" w:hAnsi="Helvetica"/>
          <w:color w:val="000000"/>
          <w:spacing w:val="2"/>
          <w:sz w:val="27"/>
          <w:szCs w:val="27"/>
        </w:rPr>
        <w:t xml:space="preserve"> millî savunma ve iç güvenlik ihtiyaçlarında kullanılmak üzere ilk iktisabı girmektedir.</w:t>
      </w:r>
    </w:p>
    <w:p w14:paraId="0EE23117"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Yerli katkı oranının tespitinde, Sanayi ve Teknoloji Bakanlığı tarafından yayınlanan güncel motorlu araçlar yerli katkı oranı beyanları esas alınır.</w:t>
      </w:r>
    </w:p>
    <w:p w14:paraId="1682069D"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xml:space="preserve">Taşıtların istisna kapsamında ulusal güvenlik kuruluşlarına teslimine yönelik olarak, ilgili ulusal güvenlik kuruluşu tarafından ÖTV mükellefine </w:t>
      </w:r>
      <w:proofErr w:type="gramStart"/>
      <w:r>
        <w:rPr>
          <w:rFonts w:ascii="Helvetica" w:hAnsi="Helvetica"/>
          <w:color w:val="000000"/>
          <w:spacing w:val="2"/>
          <w:sz w:val="27"/>
          <w:szCs w:val="27"/>
        </w:rPr>
        <w:t>hitaplı</w:t>
      </w:r>
      <w:proofErr w:type="gramEnd"/>
      <w:r>
        <w:rPr>
          <w:rFonts w:ascii="Helvetica" w:hAnsi="Helvetica"/>
          <w:color w:val="000000"/>
          <w:spacing w:val="2"/>
          <w:sz w:val="27"/>
          <w:szCs w:val="27"/>
        </w:rPr>
        <w:t xml:space="preserve"> bir yazı verilir. ÖTV mükellefleri tarafından, kendilerine verilen ve istisna talebini içeren yazı, 213 sayılı Vergi Usul Kanununun muhafaza ve ibraz hükümleri gereğince muhafaza edilir ve talep edilmesi halinde ibraz edilir. Ulusal güvenlik kuruluşları tarafından bu kapsamda ithalat yapılması halinde söz konusu yazı aranmaz.</w:t>
      </w:r>
    </w:p>
    <w:p w14:paraId="154484E9"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xml:space="preserve">İstisna kapsamındaki taşıtları ulusal güvenlik kuruluşlarına ilk iktisap kapsamında teslim edenler ile bu taşıtlara ait ithalat işlemlerini gerçekleştiren gümrük idareleri tarafından ÖTV uygulanmaksızın işlem yapılır. Ancak, söz konusu taşıtların ulusal güvenlik kuruluşlarınca milli </w:t>
      </w:r>
      <w:r>
        <w:rPr>
          <w:rFonts w:ascii="Helvetica" w:hAnsi="Helvetica"/>
          <w:color w:val="000000"/>
          <w:spacing w:val="2"/>
          <w:sz w:val="27"/>
          <w:szCs w:val="27"/>
        </w:rPr>
        <w:lastRenderedPageBreak/>
        <w:t>savunma ve iç güvenlik ihtiyacına yönelik olmayan ilk iktisabı genel hükümler çerçevesinde vergilendirilir.</w:t>
      </w:r>
    </w:p>
    <w:p w14:paraId="00ABAA40"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ÖTV mükellefleri, istisna kapsamındaki teslimlerinde hesaplanan ÖTV tutarını, fatura bedeline dâhil etmez, ancak fatura bedeline dâhil edilmeyen bu tutarı düzenlenen faturada “ÖTV Kanununun 7/3-ç Maddesi Kapsamında Hesaplanıp Fatura Bedeline Dâhil Edilmeyen ÖTV Tutarı ................ TL’dir.” şerhi ile gösterir.</w:t>
      </w:r>
    </w:p>
    <w:p w14:paraId="54AF174A"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İstisna uygulanarak teslim edilen taşıtlar için de mükellefler tarafından ÖTV beyannamesi verilir, ancak beyannamede ÖTV hesaplanmaz. Ulusal güvenlik kuruluşlarından alınan yazı ile satış faturasının aslının aynı olduğuna dair bir şerh verilerek kaşe tatbiki ve imzalanması suretiyle firma yetkililerince onaylı fotokopisi ÖTV mükelleflerince bir dilekçe ekinde beyannamenin verildiği vergi dairesine verilir.</w:t>
      </w:r>
    </w:p>
    <w:p w14:paraId="5C1D5B02"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Vergi dairesince, beyanname ve söz konusu belgeler incelenerek istisna uygulandığını gösteren, kayıt ve tescile tabi taşıtlara ait “ÖTV Ödeme Belgesi” mükellefe verilir.</w:t>
      </w:r>
    </w:p>
    <w:p w14:paraId="6D393AF5"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5.3. Sorumluluk</w:t>
      </w:r>
    </w:p>
    <w:p w14:paraId="4797C409"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xml:space="preserve">Bu istisna uygulamasında, belirlenen usul ve esaslara uygun olmayacak şekilde işlem tesis edilmesi veya istisna şartlarını haiz olmayan taşıt teslim edilmesi ya da ithal edilmesi hallerinde </w:t>
      </w:r>
      <w:proofErr w:type="spellStart"/>
      <w:r>
        <w:rPr>
          <w:rFonts w:ascii="Helvetica" w:hAnsi="Helvetica"/>
          <w:color w:val="000000"/>
          <w:spacing w:val="2"/>
          <w:sz w:val="27"/>
          <w:szCs w:val="27"/>
        </w:rPr>
        <w:t>ziyaa</w:t>
      </w:r>
      <w:proofErr w:type="spellEnd"/>
      <w:r>
        <w:rPr>
          <w:rFonts w:ascii="Helvetica" w:hAnsi="Helvetica"/>
          <w:color w:val="000000"/>
          <w:spacing w:val="2"/>
          <w:sz w:val="27"/>
          <w:szCs w:val="27"/>
        </w:rPr>
        <w:t xml:space="preserve"> uğratılan vergi, vergi </w:t>
      </w:r>
      <w:proofErr w:type="spellStart"/>
      <w:r>
        <w:rPr>
          <w:rFonts w:ascii="Helvetica" w:hAnsi="Helvetica"/>
          <w:color w:val="000000"/>
          <w:spacing w:val="2"/>
          <w:sz w:val="27"/>
          <w:szCs w:val="27"/>
        </w:rPr>
        <w:t>ziyaı</w:t>
      </w:r>
      <w:proofErr w:type="spellEnd"/>
      <w:r>
        <w:rPr>
          <w:rFonts w:ascii="Helvetica" w:hAnsi="Helvetica"/>
          <w:color w:val="000000"/>
          <w:spacing w:val="2"/>
          <w:sz w:val="27"/>
          <w:szCs w:val="27"/>
        </w:rPr>
        <w:t xml:space="preserve"> cezası ve faizlerden teslimi yapan mükellef ve gümrük idaresiyle birlikte teslim yapılan alıcı da </w:t>
      </w:r>
      <w:proofErr w:type="spellStart"/>
      <w:r>
        <w:rPr>
          <w:rFonts w:ascii="Helvetica" w:hAnsi="Helvetica"/>
          <w:color w:val="000000"/>
          <w:spacing w:val="2"/>
          <w:sz w:val="27"/>
          <w:szCs w:val="27"/>
        </w:rPr>
        <w:t>müteselsilen</w:t>
      </w:r>
      <w:proofErr w:type="spellEnd"/>
      <w:r>
        <w:rPr>
          <w:rFonts w:ascii="Helvetica" w:hAnsi="Helvetica"/>
          <w:color w:val="000000"/>
          <w:spacing w:val="2"/>
          <w:sz w:val="27"/>
          <w:szCs w:val="27"/>
        </w:rPr>
        <w:t xml:space="preserve"> sorumludur.</w:t>
      </w:r>
    </w:p>
    <w:p w14:paraId="24487100"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xml:space="preserve">Taşıtın tesliminden sonra istisna şartlarının ihlal edildiğinin tespiti halinde, </w:t>
      </w:r>
      <w:proofErr w:type="spellStart"/>
      <w:r>
        <w:rPr>
          <w:rFonts w:ascii="Helvetica" w:hAnsi="Helvetica"/>
          <w:color w:val="000000"/>
          <w:spacing w:val="2"/>
          <w:sz w:val="27"/>
          <w:szCs w:val="27"/>
        </w:rPr>
        <w:t>ziyaa</w:t>
      </w:r>
      <w:proofErr w:type="spellEnd"/>
      <w:r>
        <w:rPr>
          <w:rFonts w:ascii="Helvetica" w:hAnsi="Helvetica"/>
          <w:color w:val="000000"/>
          <w:spacing w:val="2"/>
          <w:sz w:val="27"/>
          <w:szCs w:val="27"/>
        </w:rPr>
        <w:t xml:space="preserve"> uğratılan vergi ile buna bağlı ceza, faiz ve zamlar, kendisine istisna kapsamında teslim yapılan alıcıdan aranır.”</w:t>
      </w:r>
    </w:p>
    <w:p w14:paraId="0A23DDC7"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MADDE 2- </w:t>
      </w:r>
      <w:r>
        <w:rPr>
          <w:rFonts w:ascii="Helvetica" w:hAnsi="Helvetica"/>
          <w:color w:val="000000"/>
          <w:spacing w:val="2"/>
          <w:sz w:val="27"/>
          <w:szCs w:val="27"/>
        </w:rPr>
        <w:t>Aynı Tebliğin mevcut (II/C/6.2) bölümünde yer alan “(II/C/6.3.)” ibaresi “(II/C/7.3)” olarak değiştirilmiştir.</w:t>
      </w:r>
    </w:p>
    <w:p w14:paraId="1CFFC76E"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MADDE 3-</w:t>
      </w:r>
      <w:r>
        <w:rPr>
          <w:rFonts w:ascii="Helvetica" w:hAnsi="Helvetica"/>
          <w:color w:val="000000"/>
          <w:spacing w:val="2"/>
          <w:sz w:val="27"/>
          <w:szCs w:val="27"/>
        </w:rPr>
        <w:t> Aynı Tebliğin mevcut (II/C/6.4) bölümünün birinci paragrafında yer alan “(II/C/6.3)” ibaresi “(II/C/7.3)” olarak değiştirilmiştir.</w:t>
      </w:r>
    </w:p>
    <w:p w14:paraId="1B9279EA"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MADDE 4- </w:t>
      </w:r>
      <w:r>
        <w:rPr>
          <w:rFonts w:ascii="Helvetica" w:hAnsi="Helvetica"/>
          <w:color w:val="000000"/>
          <w:spacing w:val="2"/>
          <w:sz w:val="27"/>
          <w:szCs w:val="27"/>
        </w:rPr>
        <w:t>Aynı Tebliğin (III/B/1) bölümünün üçüncü paragrafında yer alan “motor gücü,” ibaresinden sonra gelmek üzere “motor silindir hacmi, menzili, batarya kapasitesi,” ibaresi eklenmiştir.</w:t>
      </w:r>
    </w:p>
    <w:p w14:paraId="5D5BCD43"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MADDE 5- </w:t>
      </w:r>
      <w:r>
        <w:rPr>
          <w:rFonts w:ascii="Helvetica" w:hAnsi="Helvetica"/>
          <w:color w:val="000000"/>
          <w:spacing w:val="2"/>
          <w:sz w:val="27"/>
          <w:szCs w:val="27"/>
        </w:rPr>
        <w:t>Aynı Tebliğin (III/B/2.3) bölümünün ikinci paragrafının son cümlesi yürürlükten kaldırılmıştır.</w:t>
      </w:r>
    </w:p>
    <w:p w14:paraId="25DE7994"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lastRenderedPageBreak/>
        <w:t>MADDE 6- </w:t>
      </w:r>
      <w:r>
        <w:rPr>
          <w:rFonts w:ascii="Helvetica" w:hAnsi="Helvetica"/>
          <w:color w:val="000000"/>
          <w:spacing w:val="2"/>
          <w:sz w:val="27"/>
          <w:szCs w:val="27"/>
        </w:rPr>
        <w:t>Aynı Tebliğin (III/B/2.9) bölümünden sonra gelmek üzere başlığıyla birlikte aşağıdaki bölüm eklenmiştir.</w:t>
      </w:r>
    </w:p>
    <w:p w14:paraId="62EAEE5E"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“2.10. Arazi Taşıtı</w:t>
      </w:r>
    </w:p>
    <w:p w14:paraId="69C7708D"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(II) sayılı liste uygulamasında, arazi taşıtları, karayollarında yolcu veya yük taşıyabilecek şekilde imal edilmiş olmakla beraber bütün tekerlekleri motordan güç alan veya alabilen motorlu taşıtlardır.</w:t>
      </w:r>
    </w:p>
    <w:p w14:paraId="2335BA59" w14:textId="77777777" w:rsidR="00B25C30" w:rsidRDefault="00B25C30" w:rsidP="00B25C30">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87.04 tarife pozisyonu sırasında yer alan, azami yüklü kütlesi 3500 kilogramı geçmeyen (N1 sınıfı) arazi taşıtı (G sınıfı) olarak N1G sınıfındaki araçlar kabul edilir.”</w:t>
      </w:r>
    </w:p>
    <w:p w14:paraId="5F3ABC1A"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MADDE 7-</w:t>
      </w:r>
      <w:r>
        <w:rPr>
          <w:rFonts w:ascii="Helvetica" w:hAnsi="Helvetica"/>
          <w:color w:val="000000"/>
          <w:spacing w:val="2"/>
          <w:sz w:val="27"/>
          <w:szCs w:val="27"/>
        </w:rPr>
        <w:t> Aynı Tebliğin (IV/D) bölümünün ikinci paragrafında yer alan “Tasfiye Hizmetleri Genel Müdürlüğü” ibaresinden sonra gelmek üzere “, Özelleştirme İdaresi Başkanlığı” ibaresi eklenmiştir.</w:t>
      </w:r>
    </w:p>
    <w:p w14:paraId="6B4F0E21"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MADDE 8- </w:t>
      </w:r>
      <w:r>
        <w:rPr>
          <w:rFonts w:ascii="Helvetica" w:hAnsi="Helvetica"/>
          <w:color w:val="000000"/>
          <w:spacing w:val="2"/>
          <w:sz w:val="27"/>
          <w:szCs w:val="27"/>
        </w:rPr>
        <w:t>Bu Tebliğ yayımı tarihinde yürürlüğe girer.</w:t>
      </w:r>
    </w:p>
    <w:p w14:paraId="52DDFC47" w14:textId="77777777" w:rsidR="00B25C30" w:rsidRDefault="00B25C30" w:rsidP="00B25C30">
      <w:pPr>
        <w:pStyle w:val="NormalWeb"/>
        <w:shd w:val="clear" w:color="auto" w:fill="FFFFFF"/>
        <w:rPr>
          <w:rFonts w:ascii="Helvetica" w:hAnsi="Helvetica"/>
          <w:color w:val="000000"/>
          <w:spacing w:val="2"/>
          <w:sz w:val="27"/>
          <w:szCs w:val="27"/>
        </w:rPr>
      </w:pPr>
      <w:r>
        <w:rPr>
          <w:rStyle w:val="Gl"/>
          <w:rFonts w:ascii="Helvetica" w:hAnsi="Helvetica"/>
          <w:color w:val="000000"/>
          <w:spacing w:val="2"/>
          <w:sz w:val="27"/>
          <w:szCs w:val="27"/>
        </w:rPr>
        <w:t>MADDE 9-</w:t>
      </w:r>
      <w:r>
        <w:rPr>
          <w:rFonts w:ascii="Helvetica" w:hAnsi="Helvetica"/>
          <w:color w:val="000000"/>
          <w:spacing w:val="2"/>
          <w:sz w:val="27"/>
          <w:szCs w:val="27"/>
        </w:rPr>
        <w:t> Bu Tebliğ hükümlerini Hazine ve Maliye Bakanı yürütür.</w:t>
      </w:r>
    </w:p>
    <w:p w14:paraId="2924060A" w14:textId="77777777" w:rsidR="003972D8" w:rsidRDefault="003972D8"/>
    <w:sectPr w:rsidR="003972D8" w:rsidSect="00397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__poppins_Fallback_9823b9">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30"/>
    <w:rsid w:val="002E7D5B"/>
    <w:rsid w:val="003972D8"/>
    <w:rsid w:val="00B25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E6DC51"/>
  <w15:chartTrackingRefBased/>
  <w15:docId w15:val="{7423B2D1-083A-4909-9B1A-10A9BCF4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D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uitypography-root">
    <w:name w:val="muitypography-root"/>
    <w:basedOn w:val="Normal"/>
    <w:rsid w:val="00B25C30"/>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B25C30"/>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B25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13970">
      <w:bodyDiv w:val="1"/>
      <w:marLeft w:val="0"/>
      <w:marRight w:val="0"/>
      <w:marTop w:val="0"/>
      <w:marBottom w:val="0"/>
      <w:divBdr>
        <w:top w:val="none" w:sz="0" w:space="0" w:color="auto"/>
        <w:left w:val="none" w:sz="0" w:space="0" w:color="auto"/>
        <w:bottom w:val="none" w:sz="0" w:space="0" w:color="auto"/>
        <w:right w:val="none" w:sz="0" w:space="0" w:color="auto"/>
      </w:divBdr>
      <w:divsChild>
        <w:div w:id="1173497294">
          <w:marLeft w:val="0"/>
          <w:marRight w:val="0"/>
          <w:marTop w:val="0"/>
          <w:marBottom w:val="0"/>
          <w:divBdr>
            <w:top w:val="single" w:sz="6" w:space="0" w:color="47A0AD"/>
            <w:left w:val="single" w:sz="6" w:space="0" w:color="47A0AD"/>
            <w:bottom w:val="single" w:sz="6" w:space="0" w:color="47A0AD"/>
            <w:right w:val="single" w:sz="6" w:space="0" w:color="47A0AD"/>
          </w:divBdr>
          <w:divsChild>
            <w:div w:id="825435408">
              <w:marLeft w:val="0"/>
              <w:marRight w:val="0"/>
              <w:marTop w:val="0"/>
              <w:marBottom w:val="0"/>
              <w:divBdr>
                <w:top w:val="none" w:sz="0" w:space="0" w:color="auto"/>
                <w:left w:val="none" w:sz="0" w:space="0" w:color="auto"/>
                <w:bottom w:val="none" w:sz="0" w:space="0" w:color="auto"/>
                <w:right w:val="none" w:sz="0" w:space="0" w:color="auto"/>
              </w:divBdr>
            </w:div>
            <w:div w:id="1741906178">
              <w:marLeft w:val="0"/>
              <w:marRight w:val="0"/>
              <w:marTop w:val="0"/>
              <w:marBottom w:val="0"/>
              <w:divBdr>
                <w:top w:val="none" w:sz="0" w:space="0" w:color="auto"/>
                <w:left w:val="none" w:sz="0" w:space="0" w:color="auto"/>
                <w:bottom w:val="none" w:sz="0" w:space="0" w:color="auto"/>
                <w:right w:val="none" w:sz="0" w:space="0" w:color="auto"/>
              </w:divBdr>
            </w:div>
            <w:div w:id="1888027256">
              <w:marLeft w:val="0"/>
              <w:marRight w:val="0"/>
              <w:marTop w:val="0"/>
              <w:marBottom w:val="0"/>
              <w:divBdr>
                <w:top w:val="none" w:sz="0" w:space="0" w:color="auto"/>
                <w:left w:val="none" w:sz="0" w:space="0" w:color="auto"/>
                <w:bottom w:val="none" w:sz="0" w:space="0" w:color="auto"/>
                <w:right w:val="none" w:sz="0" w:space="0" w:color="auto"/>
              </w:divBdr>
            </w:div>
            <w:div w:id="1891724255">
              <w:marLeft w:val="0"/>
              <w:marRight w:val="0"/>
              <w:marTop w:val="0"/>
              <w:marBottom w:val="0"/>
              <w:divBdr>
                <w:top w:val="none" w:sz="0" w:space="0" w:color="auto"/>
                <w:left w:val="none" w:sz="0" w:space="0" w:color="auto"/>
                <w:bottom w:val="none" w:sz="0" w:space="0" w:color="auto"/>
                <w:right w:val="none" w:sz="0" w:space="0" w:color="auto"/>
              </w:divBdr>
            </w:div>
          </w:divsChild>
        </w:div>
        <w:div w:id="2049599837">
          <w:marLeft w:val="0"/>
          <w:marRight w:val="0"/>
          <w:marTop w:val="0"/>
          <w:marBottom w:val="0"/>
          <w:divBdr>
            <w:top w:val="none" w:sz="0" w:space="0" w:color="auto"/>
            <w:left w:val="none" w:sz="0" w:space="0" w:color="auto"/>
            <w:bottom w:val="none" w:sz="0" w:space="0" w:color="auto"/>
            <w:right w:val="none" w:sz="0" w:space="0" w:color="auto"/>
          </w:divBdr>
          <w:divsChild>
            <w:div w:id="19166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5959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cp:lastModifiedBy>Turgay Dal</cp:lastModifiedBy>
  <cp:revision>2</cp:revision>
  <dcterms:created xsi:type="dcterms:W3CDTF">2025-09-05T13:28:00Z</dcterms:created>
  <dcterms:modified xsi:type="dcterms:W3CDTF">2025-09-05T13:28:00Z</dcterms:modified>
</cp:coreProperties>
</file>